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E759" w14:textId="77777777" w:rsidR="00C363E2" w:rsidRDefault="00C363E2" w:rsidP="00C363E2">
      <w:pPr>
        <w:rPr>
          <w:b/>
          <w:bCs/>
        </w:rPr>
      </w:pPr>
      <w:r w:rsidRPr="00245F35">
        <w:rPr>
          <w:b/>
          <w:bCs/>
        </w:rPr>
        <w:t>COMMERCIAL SOLAR + STORAGE</w:t>
      </w:r>
    </w:p>
    <w:p w14:paraId="43523133" w14:textId="77777777" w:rsidR="00C363E2" w:rsidRDefault="00C363E2" w:rsidP="00C363E2">
      <w:r>
        <w:t>SLIDE 1</w:t>
      </w:r>
    </w:p>
    <w:p w14:paraId="433652A2" w14:textId="77777777" w:rsidR="00C363E2" w:rsidRPr="00A46905" w:rsidRDefault="00C363E2" w:rsidP="00C363E2">
      <w:pPr>
        <w:rPr>
          <w:rFonts w:cstheme="minorHAnsi"/>
          <w:color w:val="0D0D0D"/>
          <w:sz w:val="23"/>
          <w:szCs w:val="23"/>
          <w:shd w:val="clear" w:color="auto" w:fill="FFFFFF"/>
        </w:rPr>
      </w:pPr>
      <w:r w:rsidRPr="003B1ADA">
        <w:rPr>
          <w:rFonts w:cstheme="minorHAnsi"/>
          <w:color w:val="0D0D0D"/>
          <w:sz w:val="23"/>
          <w:szCs w:val="23"/>
          <w:shd w:val="clear" w:color="auto" w:fill="FFFFFF"/>
        </w:rPr>
        <w:t xml:space="preserve">Today we’re going to learn </w:t>
      </w:r>
      <w:r w:rsidRPr="00A46905">
        <w:rPr>
          <w:rFonts w:cstheme="minorHAnsi"/>
          <w:color w:val="0D0D0D"/>
          <w:sz w:val="23"/>
          <w:szCs w:val="23"/>
          <w:shd w:val="clear" w:color="auto" w:fill="FFFFFF"/>
        </w:rPr>
        <w:t>about clean energy incentives for businesses within the Inflation Reduction Act</w:t>
      </w:r>
      <w:r>
        <w:rPr>
          <w:rFonts w:cstheme="minorHAnsi"/>
          <w:color w:val="0D0D0D"/>
          <w:sz w:val="23"/>
          <w:szCs w:val="23"/>
          <w:shd w:val="clear" w:color="auto" w:fill="FFFFFF"/>
        </w:rPr>
        <w:t xml:space="preserve"> of 2022</w:t>
      </w:r>
      <w:r w:rsidRPr="00A46905">
        <w:rPr>
          <w:rFonts w:cstheme="minorHAnsi"/>
          <w:color w:val="0D0D0D"/>
          <w:sz w:val="23"/>
          <w:szCs w:val="23"/>
          <w:shd w:val="clear" w:color="auto" w:fill="FFFFFF"/>
        </w:rPr>
        <w:t>.</w:t>
      </w:r>
    </w:p>
    <w:p w14:paraId="7F8FD934" w14:textId="77777777" w:rsidR="008D11D2" w:rsidRPr="00967AF0" w:rsidRDefault="008D11D2" w:rsidP="008D11D2">
      <w:pPr>
        <w:rPr>
          <w:rFonts w:cstheme="minorHAnsi"/>
          <w:color w:val="0D0D0D"/>
          <w:sz w:val="23"/>
          <w:szCs w:val="23"/>
          <w:shd w:val="clear" w:color="auto" w:fill="FFFFFF"/>
        </w:rPr>
      </w:pPr>
      <w:r>
        <w:rPr>
          <w:rFonts w:cstheme="minorHAnsi"/>
          <w:color w:val="0D0D0D"/>
          <w:sz w:val="23"/>
          <w:szCs w:val="23"/>
          <w:shd w:val="clear" w:color="auto" w:fill="FFFFFF"/>
        </w:rPr>
        <w:t>A little background about t</w:t>
      </w:r>
      <w:r w:rsidRPr="00967AF0">
        <w:rPr>
          <w:rFonts w:cstheme="minorHAnsi"/>
          <w:color w:val="0D0D0D"/>
          <w:sz w:val="23"/>
          <w:szCs w:val="23"/>
          <w:shd w:val="clear" w:color="auto" w:fill="FFFFFF"/>
        </w:rPr>
        <w:t xml:space="preserve">he </w:t>
      </w:r>
      <w:r>
        <w:rPr>
          <w:rFonts w:cstheme="minorHAnsi"/>
          <w:color w:val="0D0D0D"/>
          <w:sz w:val="23"/>
          <w:szCs w:val="23"/>
          <w:shd w:val="clear" w:color="auto" w:fill="FFFFFF"/>
        </w:rPr>
        <w:t>Inflation Reduction Act. This bill</w:t>
      </w:r>
      <w:r w:rsidRPr="00967AF0">
        <w:rPr>
          <w:rFonts w:cstheme="minorHAnsi"/>
          <w:color w:val="0D0D0D"/>
          <w:sz w:val="23"/>
          <w:szCs w:val="23"/>
          <w:shd w:val="clear" w:color="auto" w:fill="FFFFFF"/>
        </w:rPr>
        <w:t xml:space="preserve"> represents the largest investment into </w:t>
      </w:r>
      <w:hyperlink r:id="rId5" w:history="1">
        <w:r w:rsidRPr="00967AF0">
          <w:rPr>
            <w:rStyle w:val="Hyperlink"/>
            <w:rFonts w:cstheme="minorHAnsi"/>
            <w:sz w:val="23"/>
            <w:szCs w:val="23"/>
            <w:shd w:val="clear" w:color="auto" w:fill="FFFFFF"/>
          </w:rPr>
          <w:t>addressing climate change</w:t>
        </w:r>
      </w:hyperlink>
      <w:r w:rsidRPr="00967AF0">
        <w:rPr>
          <w:rFonts w:cstheme="minorHAnsi"/>
          <w:color w:val="0D0D0D"/>
          <w:sz w:val="23"/>
          <w:szCs w:val="23"/>
          <w:shd w:val="clear" w:color="auto" w:fill="FFFFFF"/>
        </w:rPr>
        <w:t> in United States history. </w:t>
      </w:r>
    </w:p>
    <w:p w14:paraId="4C8C9DFF" w14:textId="77777777" w:rsidR="008D11D2" w:rsidRPr="00967AF0" w:rsidRDefault="008D11D2" w:rsidP="008D11D2">
      <w:pPr>
        <w:rPr>
          <w:rFonts w:cstheme="minorHAnsi"/>
          <w:color w:val="0D0D0D"/>
          <w:sz w:val="23"/>
          <w:szCs w:val="23"/>
          <w:shd w:val="clear" w:color="auto" w:fill="FFFFFF"/>
        </w:rPr>
      </w:pPr>
      <w:r w:rsidRPr="00967AF0">
        <w:rPr>
          <w:rFonts w:cstheme="minorHAnsi"/>
          <w:color w:val="0D0D0D"/>
          <w:sz w:val="23"/>
          <w:szCs w:val="23"/>
          <w:shd w:val="clear" w:color="auto" w:fill="FFFFFF"/>
        </w:rPr>
        <w:t>Here the headline: The law is projected to reduce 2030 U.S. </w:t>
      </w:r>
      <w:hyperlink r:id="rId6" w:history="1">
        <w:r w:rsidRPr="00967AF0">
          <w:rPr>
            <w:rStyle w:val="Hyperlink"/>
            <w:rFonts w:cstheme="minorHAnsi"/>
            <w:sz w:val="23"/>
            <w:szCs w:val="23"/>
            <w:shd w:val="clear" w:color="auto" w:fill="FFFFFF"/>
          </w:rPr>
          <w:t>greenhouse gas emissions</w:t>
        </w:r>
      </w:hyperlink>
      <w:r w:rsidRPr="00967AF0">
        <w:rPr>
          <w:rFonts w:cstheme="minorHAnsi"/>
          <w:color w:val="0D0D0D"/>
          <w:sz w:val="23"/>
          <w:szCs w:val="23"/>
          <w:shd w:val="clear" w:color="auto" w:fill="FFFFFF"/>
        </w:rPr>
        <w:t xml:space="preserve"> to 40% below 2005 levels. </w:t>
      </w:r>
      <w:r w:rsidRPr="00967AF0">
        <w:rPr>
          <w:rFonts w:cstheme="minorHAnsi"/>
          <w:b/>
          <w:bCs/>
          <w:color w:val="0D0D0D"/>
          <w:sz w:val="23"/>
          <w:szCs w:val="23"/>
          <w:shd w:val="clear" w:color="auto" w:fill="FFFFFF"/>
        </w:rPr>
        <w:t>This is a game changer</w:t>
      </w:r>
      <w:r w:rsidRPr="00967AF0">
        <w:rPr>
          <w:rFonts w:cstheme="minorHAnsi"/>
          <w:color w:val="0D0D0D"/>
          <w:sz w:val="23"/>
          <w:szCs w:val="23"/>
          <w:shd w:val="clear" w:color="auto" w:fill="FFFFFF"/>
        </w:rPr>
        <w:t>.</w:t>
      </w:r>
    </w:p>
    <w:p w14:paraId="49960E16" w14:textId="77777777" w:rsidR="008D11D2" w:rsidRPr="00967AF0" w:rsidRDefault="008D11D2" w:rsidP="008D11D2">
      <w:pPr>
        <w:rPr>
          <w:rFonts w:cstheme="minorHAnsi"/>
          <w:color w:val="0D0D0D"/>
          <w:sz w:val="23"/>
          <w:szCs w:val="23"/>
          <w:shd w:val="clear" w:color="auto" w:fill="FFFFFF"/>
        </w:rPr>
      </w:pPr>
      <w:r w:rsidRPr="00967AF0">
        <w:rPr>
          <w:rFonts w:cstheme="minorHAnsi"/>
          <w:color w:val="0D0D0D"/>
          <w:sz w:val="23"/>
          <w:szCs w:val="23"/>
          <w:shd w:val="clear" w:color="auto" w:fill="FFFFFF"/>
        </w:rPr>
        <w:t>The Inflation Reduction Act of 2022 is a landmark </w:t>
      </w:r>
      <w:hyperlink r:id="rId7" w:history="1">
        <w:r w:rsidRPr="00967AF0">
          <w:rPr>
            <w:rStyle w:val="Hyperlink"/>
            <w:rFonts w:cstheme="minorHAnsi"/>
            <w:sz w:val="23"/>
            <w:szCs w:val="23"/>
            <w:shd w:val="clear" w:color="auto" w:fill="FFFFFF"/>
          </w:rPr>
          <w:t>federal law</w:t>
        </w:r>
      </w:hyperlink>
      <w:r w:rsidRPr="00967AF0">
        <w:rPr>
          <w:rFonts w:cstheme="minorHAnsi"/>
          <w:color w:val="0D0D0D"/>
          <w:sz w:val="23"/>
          <w:szCs w:val="23"/>
          <w:shd w:val="clear" w:color="auto" w:fill="FFFFFF"/>
        </w:rPr>
        <w:t> which aims to curb </w:t>
      </w:r>
      <w:hyperlink r:id="rId8" w:history="1">
        <w:r w:rsidRPr="00967AF0">
          <w:rPr>
            <w:rStyle w:val="Hyperlink"/>
            <w:rFonts w:cstheme="minorHAnsi"/>
            <w:sz w:val="23"/>
            <w:szCs w:val="23"/>
            <w:shd w:val="clear" w:color="auto" w:fill="FFFFFF"/>
          </w:rPr>
          <w:t>inflation</w:t>
        </w:r>
      </w:hyperlink>
      <w:r w:rsidRPr="00967AF0">
        <w:rPr>
          <w:rFonts w:cstheme="minorHAnsi"/>
          <w:color w:val="0D0D0D"/>
          <w:sz w:val="23"/>
          <w:szCs w:val="23"/>
          <w:shd w:val="clear" w:color="auto" w:fill="FFFFFF"/>
        </w:rPr>
        <w:t> by </w:t>
      </w:r>
    </w:p>
    <w:p w14:paraId="1CA742A7" w14:textId="77777777" w:rsidR="00967AF0" w:rsidRPr="00967AF0" w:rsidRDefault="00AE3D3F" w:rsidP="008D11D2">
      <w:pPr>
        <w:numPr>
          <w:ilvl w:val="0"/>
          <w:numId w:val="1"/>
        </w:numPr>
        <w:rPr>
          <w:rFonts w:cstheme="minorHAnsi"/>
          <w:color w:val="0D0D0D"/>
          <w:sz w:val="23"/>
          <w:szCs w:val="23"/>
          <w:shd w:val="clear" w:color="auto" w:fill="FFFFFF"/>
        </w:rPr>
      </w:pPr>
      <w:hyperlink r:id="rId9" w:history="1">
        <w:r w:rsidRPr="00967AF0">
          <w:rPr>
            <w:rStyle w:val="Hyperlink"/>
            <w:rFonts w:cstheme="minorHAnsi"/>
            <w:sz w:val="23"/>
            <w:szCs w:val="23"/>
            <w:shd w:val="clear" w:color="auto" w:fill="FFFFFF"/>
          </w:rPr>
          <w:t>reducing the deficit</w:t>
        </w:r>
      </w:hyperlink>
      <w:r w:rsidRPr="00967AF0">
        <w:rPr>
          <w:rFonts w:cstheme="minorHAnsi"/>
          <w:color w:val="0D0D0D"/>
          <w:sz w:val="23"/>
          <w:szCs w:val="23"/>
          <w:shd w:val="clear" w:color="auto" w:fill="FFFFFF"/>
        </w:rPr>
        <w:t xml:space="preserve">, </w:t>
      </w:r>
    </w:p>
    <w:p w14:paraId="57B4C048" w14:textId="77777777" w:rsidR="00967AF0" w:rsidRPr="00967AF0" w:rsidRDefault="00AE3D3F" w:rsidP="008D11D2">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lowering </w:t>
      </w:r>
      <w:hyperlink r:id="rId10" w:history="1">
        <w:r w:rsidRPr="00967AF0">
          <w:rPr>
            <w:rStyle w:val="Hyperlink"/>
            <w:rFonts w:cstheme="minorHAnsi"/>
            <w:sz w:val="23"/>
            <w:szCs w:val="23"/>
            <w:shd w:val="clear" w:color="auto" w:fill="FFFFFF"/>
          </w:rPr>
          <w:t>prescription drug prices</w:t>
        </w:r>
      </w:hyperlink>
      <w:r w:rsidRPr="00967AF0">
        <w:rPr>
          <w:rFonts w:cstheme="minorHAnsi"/>
          <w:color w:val="0D0D0D"/>
          <w:sz w:val="23"/>
          <w:szCs w:val="23"/>
          <w:shd w:val="clear" w:color="auto" w:fill="FFFFFF"/>
        </w:rPr>
        <w:t xml:space="preserve">, and </w:t>
      </w:r>
    </w:p>
    <w:p w14:paraId="4C416C29" w14:textId="77777777" w:rsidR="00967AF0" w:rsidRPr="00967AF0" w:rsidRDefault="00AE3D3F" w:rsidP="008D11D2">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investing into domestic energy production while promoting </w:t>
      </w:r>
      <w:hyperlink r:id="rId11" w:history="1">
        <w:r w:rsidRPr="00967AF0">
          <w:rPr>
            <w:rStyle w:val="Hyperlink"/>
            <w:rFonts w:cstheme="minorHAnsi"/>
            <w:sz w:val="23"/>
            <w:szCs w:val="23"/>
            <w:shd w:val="clear" w:color="auto" w:fill="FFFFFF"/>
          </w:rPr>
          <w:t>clean energy</w:t>
        </w:r>
      </w:hyperlink>
      <w:r w:rsidRPr="00967AF0">
        <w:rPr>
          <w:rFonts w:cstheme="minorHAnsi"/>
          <w:color w:val="0D0D0D"/>
          <w:sz w:val="23"/>
          <w:szCs w:val="23"/>
          <w:shd w:val="clear" w:color="auto" w:fill="FFFFFF"/>
        </w:rPr>
        <w:t xml:space="preserve">. </w:t>
      </w:r>
    </w:p>
    <w:p w14:paraId="04DF5137" w14:textId="77777777" w:rsidR="008D11D2" w:rsidRPr="00967AF0" w:rsidRDefault="008D11D2" w:rsidP="008D11D2">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It was passed by </w:t>
      </w:r>
      <w:hyperlink r:id="rId12" w:history="1">
        <w:r w:rsidRPr="00967AF0">
          <w:rPr>
            <w:rStyle w:val="Hyperlink"/>
            <w:rFonts w:cstheme="minorHAnsi"/>
            <w:sz w:val="23"/>
            <w:szCs w:val="23"/>
            <w:shd w:val="clear" w:color="auto" w:fill="FFFFFF"/>
          </w:rPr>
          <w:t>Congress</w:t>
        </w:r>
      </w:hyperlink>
      <w:r w:rsidRPr="00967AF0">
        <w:rPr>
          <w:rFonts w:cstheme="minorHAnsi"/>
          <w:color w:val="0D0D0D"/>
          <w:sz w:val="23"/>
          <w:szCs w:val="23"/>
          <w:shd w:val="clear" w:color="auto" w:fill="FFFFFF"/>
        </w:rPr>
        <w:t> and signed into law by President </w:t>
      </w:r>
      <w:hyperlink r:id="rId13" w:history="1">
        <w:r w:rsidRPr="00967AF0">
          <w:rPr>
            <w:rStyle w:val="Hyperlink"/>
            <w:rFonts w:cstheme="minorHAnsi"/>
            <w:sz w:val="23"/>
            <w:szCs w:val="23"/>
            <w:shd w:val="clear" w:color="auto" w:fill="FFFFFF"/>
          </w:rPr>
          <w:t>Biden</w:t>
        </w:r>
      </w:hyperlink>
      <w:r w:rsidRPr="00967AF0">
        <w:rPr>
          <w:rFonts w:cstheme="minorHAnsi"/>
          <w:color w:val="0D0D0D"/>
          <w:sz w:val="23"/>
          <w:szCs w:val="23"/>
          <w:shd w:val="clear" w:color="auto" w:fill="FFFFFF"/>
        </w:rPr>
        <w:t> on August 16, 2022.</w:t>
      </w:r>
    </w:p>
    <w:p w14:paraId="063B692D" w14:textId="77777777" w:rsidR="008D11D2" w:rsidRPr="00967AF0" w:rsidRDefault="008D11D2" w:rsidP="008D11D2">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The law will raise $738 billion and </w:t>
      </w:r>
      <w:proofErr w:type="gramStart"/>
      <w:r w:rsidRPr="00967AF0">
        <w:rPr>
          <w:rFonts w:cstheme="minorHAnsi"/>
          <w:color w:val="0D0D0D"/>
          <w:sz w:val="23"/>
          <w:szCs w:val="23"/>
          <w:shd w:val="clear" w:color="auto" w:fill="FFFFFF"/>
        </w:rPr>
        <w:t>authorize</w:t>
      </w:r>
      <w:proofErr w:type="gramEnd"/>
      <w:r w:rsidRPr="00967AF0">
        <w:rPr>
          <w:rFonts w:cstheme="minorHAnsi"/>
          <w:color w:val="0D0D0D"/>
          <w:sz w:val="23"/>
          <w:szCs w:val="23"/>
          <w:shd w:val="clear" w:color="auto" w:fill="FFFFFF"/>
        </w:rPr>
        <w:t xml:space="preserve"> </w:t>
      </w:r>
    </w:p>
    <w:p w14:paraId="303E8DAF" w14:textId="77777777" w:rsidR="00967AF0" w:rsidRPr="00967AF0" w:rsidRDefault="00AE3D3F" w:rsidP="008D11D2">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Nearly 400 billion in spending on </w:t>
      </w:r>
      <w:hyperlink r:id="rId14" w:history="1">
        <w:r w:rsidRPr="00967AF0">
          <w:rPr>
            <w:rStyle w:val="Hyperlink"/>
            <w:rFonts w:cstheme="minorHAnsi"/>
            <w:sz w:val="23"/>
            <w:szCs w:val="23"/>
            <w:shd w:val="clear" w:color="auto" w:fill="FFFFFF"/>
          </w:rPr>
          <w:t>energy</w:t>
        </w:r>
      </w:hyperlink>
      <w:r w:rsidRPr="00967AF0">
        <w:rPr>
          <w:rFonts w:cstheme="minorHAnsi"/>
          <w:color w:val="0D0D0D"/>
          <w:sz w:val="23"/>
          <w:szCs w:val="23"/>
          <w:shd w:val="clear" w:color="auto" w:fill="FFFFFF"/>
        </w:rPr>
        <w:t xml:space="preserve"> and climate change initiatives, </w:t>
      </w:r>
    </w:p>
    <w:p w14:paraId="6ACE3E1A" w14:textId="77777777" w:rsidR="00967AF0" w:rsidRPr="00967AF0" w:rsidRDefault="00AE3D3F" w:rsidP="008D11D2">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More than $200 billion in deficit reduction, </w:t>
      </w:r>
    </w:p>
    <w:p w14:paraId="053148E3" w14:textId="77777777" w:rsidR="008D11D2" w:rsidRPr="00967AF0" w:rsidRDefault="00AE3D3F" w:rsidP="008D11D2">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3 years of </w:t>
      </w:r>
      <w:hyperlink r:id="rId15" w:history="1">
        <w:r w:rsidRPr="00967AF0">
          <w:rPr>
            <w:rStyle w:val="Hyperlink"/>
            <w:rFonts w:cstheme="minorHAnsi"/>
            <w:sz w:val="23"/>
            <w:szCs w:val="23"/>
            <w:shd w:val="clear" w:color="auto" w:fill="FFFFFF"/>
          </w:rPr>
          <w:t>Affordable Care Act</w:t>
        </w:r>
      </w:hyperlink>
      <w:r w:rsidRPr="00967AF0">
        <w:rPr>
          <w:rFonts w:cstheme="minorHAnsi"/>
          <w:color w:val="0D0D0D"/>
          <w:sz w:val="23"/>
          <w:szCs w:val="23"/>
          <w:shd w:val="clear" w:color="auto" w:fill="FFFFFF"/>
        </w:rPr>
        <w:t> subsidies, prescription drug reform; and more.</w:t>
      </w:r>
    </w:p>
    <w:p w14:paraId="0AEA3F14" w14:textId="77777777" w:rsidR="00C363E2" w:rsidRDefault="00C363E2" w:rsidP="00C363E2">
      <w:r>
        <w:t>SLIDE 2</w:t>
      </w:r>
    </w:p>
    <w:p w14:paraId="5312041B" w14:textId="22E14D86" w:rsidR="00462B0C" w:rsidRDefault="00C363E2" w:rsidP="00C363E2">
      <w:r w:rsidRPr="006608E9">
        <w:t xml:space="preserve">There's been a tax credit for </w:t>
      </w:r>
      <w:r w:rsidR="00462B0C">
        <w:t xml:space="preserve">commercial </w:t>
      </w:r>
      <w:r w:rsidRPr="006608E9">
        <w:t xml:space="preserve">solar on the books for quite a </w:t>
      </w:r>
      <w:proofErr w:type="gramStart"/>
      <w:r w:rsidRPr="006608E9">
        <w:t>while</w:t>
      </w:r>
      <w:proofErr w:type="gramEnd"/>
      <w:r w:rsidRPr="006608E9">
        <w:t xml:space="preserve"> but it's gone up and down</w:t>
      </w:r>
      <w:r w:rsidR="00462B0C">
        <w:t xml:space="preserve">. In </w:t>
      </w:r>
      <w:proofErr w:type="gramStart"/>
      <w:r w:rsidRPr="006608E9">
        <w:t>fact</w:t>
      </w:r>
      <w:proofErr w:type="gramEnd"/>
      <w:r w:rsidRPr="006608E9">
        <w:t xml:space="preserve"> it was on its way down to </w:t>
      </w:r>
      <w:r w:rsidR="00462B0C">
        <w:t xml:space="preserve">only </w:t>
      </w:r>
      <w:r w:rsidRPr="006608E9">
        <w:t>10</w:t>
      </w:r>
      <w:r w:rsidR="00462B0C">
        <w:t>%</w:t>
      </w:r>
      <w:r w:rsidRPr="006608E9">
        <w:t xml:space="preserve"> in the next few years. The Inflation Reduction Act changes this. It sets the tax credit at 30</w:t>
      </w:r>
      <w:r w:rsidR="00462B0C">
        <w:t>%</w:t>
      </w:r>
      <w:r w:rsidRPr="006608E9">
        <w:t xml:space="preserve"> minimum for solar projects that are one megawatt or smaller. If </w:t>
      </w:r>
      <w:r w:rsidR="00462B0C">
        <w:t>a project is</w:t>
      </w:r>
      <w:r w:rsidRPr="006608E9">
        <w:t xml:space="preserve"> larger than </w:t>
      </w:r>
      <w:r w:rsidR="00462B0C">
        <w:t>1 MW</w:t>
      </w:r>
      <w:r w:rsidRPr="006608E9">
        <w:t>, th</w:t>
      </w:r>
      <w:r w:rsidR="00462B0C">
        <w:t>e</w:t>
      </w:r>
      <w:r w:rsidRPr="006608E9">
        <w:t xml:space="preserve"> tax credit is only</w:t>
      </w:r>
      <w:r w:rsidR="00462B0C">
        <w:t xml:space="preserve"> 6%</w:t>
      </w:r>
      <w:r w:rsidRPr="006608E9">
        <w:t xml:space="preserve"> unless you meet certain prevailing wage and apprenticeship requirements. </w:t>
      </w:r>
      <w:r w:rsidR="00462B0C">
        <w:t xml:space="preserve">You can find more details about those requirements on the Clean Energy Resource Teams, or CERTs, Guide to the IRA: </w:t>
      </w:r>
      <w:hyperlink r:id="rId16" w:history="1">
        <w:r w:rsidR="00462B0C" w:rsidRPr="006C3768">
          <w:rPr>
            <w:rStyle w:val="Hyperlink"/>
          </w:rPr>
          <w:t>https://www.cleanenergyresourceteams.org/inflation-reduction-act-what-you-need-know</w:t>
        </w:r>
      </w:hyperlink>
    </w:p>
    <w:p w14:paraId="6DBFA524" w14:textId="77777777" w:rsidR="00462B0C" w:rsidRDefault="00C363E2" w:rsidP="00C363E2">
      <w:r w:rsidRPr="006608E9">
        <w:t>Most solar projects have used what is called the investment tax credit or the production tax credit. Those credits go away in 2025 in exchange for a new tax credit called the Clean Electricity Investment Credit</w:t>
      </w:r>
      <w:r w:rsidR="00462B0C">
        <w:t xml:space="preserve"> which is</w:t>
      </w:r>
      <w:r w:rsidRPr="006608E9">
        <w:t xml:space="preserve"> 30</w:t>
      </w:r>
      <w:r w:rsidR="00462B0C">
        <w:t>%</w:t>
      </w:r>
      <w:r w:rsidRPr="006608E9">
        <w:t>, but it'll look a lot like</w:t>
      </w:r>
      <w:r w:rsidR="00462B0C">
        <w:t xml:space="preserve"> an</w:t>
      </w:r>
      <w:r w:rsidRPr="006608E9">
        <w:t xml:space="preserve"> investment tax credit</w:t>
      </w:r>
      <w:r w:rsidR="00462B0C">
        <w:t>, i</w:t>
      </w:r>
      <w:r w:rsidRPr="006608E9">
        <w:t>t'll just be technology</w:t>
      </w:r>
      <w:r w:rsidR="00462B0C">
        <w:t xml:space="preserve"> </w:t>
      </w:r>
      <w:r w:rsidRPr="006608E9">
        <w:t>neutral</w:t>
      </w:r>
      <w:r w:rsidR="00462B0C">
        <w:t>. This means</w:t>
      </w:r>
      <w:r w:rsidRPr="006608E9">
        <w:t xml:space="preserve"> it could be used for solar, wind, geothermal, and a whole host of other technologies that do not produce greenhouse gas emissions. </w:t>
      </w:r>
    </w:p>
    <w:p w14:paraId="5782881A" w14:textId="5A8838EB" w:rsidR="00C363E2" w:rsidRDefault="00462B0C" w:rsidP="00C363E2">
      <w:r>
        <w:t xml:space="preserve">Another new </w:t>
      </w:r>
      <w:r w:rsidR="00C11307">
        <w:t xml:space="preserve">incentive from the </w:t>
      </w:r>
      <w:r w:rsidR="00C363E2" w:rsidRPr="006608E9">
        <w:t xml:space="preserve">Inflation Reduction Act, is transferability — the ability for a company that has put on a solar array, for example, </w:t>
      </w:r>
      <w:r w:rsidR="00C11307">
        <w:t xml:space="preserve">to </w:t>
      </w:r>
      <w:r w:rsidR="00C363E2" w:rsidRPr="006608E9">
        <w:t>transfer that</w:t>
      </w:r>
      <w:r w:rsidR="00C11307">
        <w:t xml:space="preserve"> tax</w:t>
      </w:r>
      <w:r w:rsidR="00C363E2" w:rsidRPr="006608E9">
        <w:t xml:space="preserve"> credit</w:t>
      </w:r>
      <w:r w:rsidR="00C11307">
        <w:t xml:space="preserve"> they received for the solar array,</w:t>
      </w:r>
      <w:r w:rsidR="00C363E2" w:rsidRPr="006608E9">
        <w:t xml:space="preserve"> to another business</w:t>
      </w:r>
      <w:r w:rsidR="00C11307">
        <w:t>. T</w:t>
      </w:r>
      <w:r w:rsidR="00C363E2" w:rsidRPr="006608E9">
        <w:t xml:space="preserve">hey can sell it. </w:t>
      </w:r>
      <w:r w:rsidR="00C11307">
        <w:t xml:space="preserve">People are anticipating there is going to </w:t>
      </w:r>
      <w:r w:rsidR="00C363E2" w:rsidRPr="006608E9">
        <w:t>be a great market for these new tax credits.</w:t>
      </w:r>
    </w:p>
    <w:p w14:paraId="45AC433C" w14:textId="4EC82BA3" w:rsidR="00C363E2" w:rsidRDefault="00C363E2" w:rsidP="00C363E2">
      <w:r>
        <w:lastRenderedPageBreak/>
        <w:t xml:space="preserve">SLIDE </w:t>
      </w:r>
      <w:r w:rsidR="00C11307">
        <w:t>3</w:t>
      </w:r>
    </w:p>
    <w:p w14:paraId="74492025" w14:textId="77777777" w:rsidR="00C11307" w:rsidRDefault="00C11307" w:rsidP="00C363E2">
      <w:r>
        <w:t>Another new incentive from the</w:t>
      </w:r>
      <w:r w:rsidR="00C363E2" w:rsidRPr="006549F5">
        <w:t xml:space="preserve"> Inflation Reduction Act </w:t>
      </w:r>
      <w:proofErr w:type="gramStart"/>
      <w:r w:rsidR="00C363E2" w:rsidRPr="006549F5">
        <w:t>are</w:t>
      </w:r>
      <w:proofErr w:type="gramEnd"/>
      <w:r w:rsidR="00C363E2" w:rsidRPr="006549F5">
        <w:t xml:space="preserve"> what are called "adders." </w:t>
      </w:r>
    </w:p>
    <w:p w14:paraId="7038E114" w14:textId="77777777" w:rsidR="00C11307" w:rsidRDefault="00C11307" w:rsidP="00C363E2">
      <w:r>
        <w:t>T</w:t>
      </w:r>
      <w:r w:rsidR="00C363E2" w:rsidRPr="006549F5">
        <w:t>he tax credit is a minimum of 30 percent</w:t>
      </w:r>
      <w:r>
        <w:t>, and</w:t>
      </w:r>
      <w:r w:rsidR="00C363E2" w:rsidRPr="006549F5">
        <w:t xml:space="preserve"> if you do a certain number of things, that tax credit could be even bigger. </w:t>
      </w:r>
    </w:p>
    <w:p w14:paraId="7DD1B6B1" w14:textId="77777777" w:rsidR="00C11307" w:rsidRDefault="00C363E2" w:rsidP="00C363E2">
      <w:r w:rsidRPr="006549F5">
        <w:t xml:space="preserve">For </w:t>
      </w:r>
      <w:proofErr w:type="gramStart"/>
      <w:r w:rsidRPr="006549F5">
        <w:t>example</w:t>
      </w:r>
      <w:proofErr w:type="gramEnd"/>
      <w:r w:rsidRPr="006549F5">
        <w:t xml:space="preserve"> if your solar array uses made in America domestic content, arrays, solar panels, and products, that's a </w:t>
      </w:r>
      <w:r w:rsidR="00C11307">
        <w:t>10%</w:t>
      </w:r>
      <w:r w:rsidRPr="006549F5">
        <w:t xml:space="preserve"> adder</w:t>
      </w:r>
      <w:r w:rsidR="00C11307">
        <w:t xml:space="preserve"> to </w:t>
      </w:r>
      <w:proofErr w:type="gramStart"/>
      <w:r w:rsidR="00C11307">
        <w:t>you</w:t>
      </w:r>
      <w:proofErr w:type="gramEnd"/>
      <w:r w:rsidR="00C11307">
        <w:t xml:space="preserve"> 30% tax credit, putting you at 40% tax credit</w:t>
      </w:r>
      <w:r w:rsidRPr="006549F5">
        <w:t xml:space="preserve">. </w:t>
      </w:r>
    </w:p>
    <w:p w14:paraId="2B3ED9B6" w14:textId="77777777" w:rsidR="00C11307" w:rsidRDefault="00C363E2" w:rsidP="00C363E2">
      <w:r w:rsidRPr="006549F5">
        <w:t xml:space="preserve">If your array </w:t>
      </w:r>
      <w:proofErr w:type="gramStart"/>
      <w:r w:rsidRPr="006549F5">
        <w:t>is located in</w:t>
      </w:r>
      <w:proofErr w:type="gramEnd"/>
      <w:r w:rsidRPr="006549F5">
        <w:t xml:space="preserve"> an "energy community," this could be a brownfield site, or a location, a city that is heavily dependent on fossil fuels/of the fossil fuel industry, that's another 10</w:t>
      </w:r>
      <w:r w:rsidR="00C11307">
        <w:t>%</w:t>
      </w:r>
      <w:r w:rsidRPr="006549F5">
        <w:t xml:space="preserve"> adder. </w:t>
      </w:r>
    </w:p>
    <w:p w14:paraId="6805E2C3" w14:textId="77777777" w:rsidR="00C11307" w:rsidRDefault="00C363E2" w:rsidP="00C363E2">
      <w:r w:rsidRPr="006549F5">
        <w:t xml:space="preserve">If it's located in a low-income community, again a </w:t>
      </w:r>
      <w:r w:rsidR="00C11307">
        <w:t>10%</w:t>
      </w:r>
      <w:r w:rsidRPr="006549F5">
        <w:t xml:space="preserve"> adder. </w:t>
      </w:r>
    </w:p>
    <w:p w14:paraId="10B4E363" w14:textId="77777777" w:rsidR="00C11307" w:rsidRDefault="00C363E2" w:rsidP="00C363E2">
      <w:r w:rsidRPr="006549F5">
        <w:t>If it is part of an affordable housing project, or if it benefits low-income households that adder could be 20</w:t>
      </w:r>
      <w:r w:rsidR="00C11307">
        <w:t>%</w:t>
      </w:r>
      <w:r w:rsidRPr="006549F5">
        <w:t xml:space="preserve">. It's important to note that projects located in low-income communities, or are part of an affordable housing project, or benefit low-income individuals, need to apply to receive this additional tax credit. </w:t>
      </w:r>
    </w:p>
    <w:p w14:paraId="4BD12F8E" w14:textId="77777777" w:rsidR="00C11307" w:rsidRDefault="00C11307" w:rsidP="00C363E2">
      <w:r>
        <w:t>T</w:t>
      </w:r>
      <w:r w:rsidR="00C363E2" w:rsidRPr="006549F5">
        <w:t xml:space="preserve">heoretically, the </w:t>
      </w:r>
      <w:r>
        <w:t xml:space="preserve">final </w:t>
      </w:r>
      <w:r w:rsidR="00C363E2" w:rsidRPr="006549F5">
        <w:t xml:space="preserve">tax credit could be as much as </w:t>
      </w:r>
      <w:r>
        <w:t>70%</w:t>
      </w:r>
      <w:r w:rsidR="00C363E2" w:rsidRPr="006549F5">
        <w:t>. That's a real game changer when you think about where we were with the tax credit ramping down from 30</w:t>
      </w:r>
      <w:r>
        <w:t>%</w:t>
      </w:r>
      <w:r w:rsidR="00C363E2" w:rsidRPr="006549F5">
        <w:t>, 26</w:t>
      </w:r>
      <w:r>
        <w:t>%</w:t>
      </w:r>
      <w:r w:rsidR="00C363E2" w:rsidRPr="006549F5">
        <w:t>, 22</w:t>
      </w:r>
      <w:r>
        <w:t>%</w:t>
      </w:r>
      <w:r w:rsidR="00C363E2" w:rsidRPr="006549F5">
        <w:t>, down to 10</w:t>
      </w:r>
      <w:r>
        <w:t>%</w:t>
      </w:r>
      <w:r w:rsidR="00C363E2" w:rsidRPr="006549F5">
        <w:t>, to now potentially, as much as a 70</w:t>
      </w:r>
      <w:r>
        <w:t>%</w:t>
      </w:r>
      <w:r w:rsidR="00C363E2" w:rsidRPr="006549F5">
        <w:t xml:space="preserve"> tax credit for these projects. </w:t>
      </w:r>
    </w:p>
    <w:p w14:paraId="42C340C0" w14:textId="3E55F961" w:rsidR="00C11307" w:rsidRDefault="00C11307" w:rsidP="00C363E2">
      <w:r>
        <w:t>SLIDE 4</w:t>
      </w:r>
    </w:p>
    <w:p w14:paraId="7C9C1CF3" w14:textId="6C2102C7" w:rsidR="00C363E2" w:rsidRDefault="00C11307" w:rsidP="00C363E2">
      <w:r>
        <w:t xml:space="preserve">Another new incentive is </w:t>
      </w:r>
      <w:r w:rsidR="00C363E2" w:rsidRPr="006549F5">
        <w:t>for</w:t>
      </w:r>
      <w:r>
        <w:t xml:space="preserve"> energy storage</w:t>
      </w:r>
      <w:r w:rsidR="00C363E2" w:rsidRPr="006549F5">
        <w:t xml:space="preserve"> batteries</w:t>
      </w:r>
      <w:r>
        <w:t xml:space="preserve">. Previously </w:t>
      </w:r>
      <w:proofErr w:type="gramStart"/>
      <w:r>
        <w:t>in order for</w:t>
      </w:r>
      <w:proofErr w:type="gramEnd"/>
      <w:r>
        <w:t xml:space="preserve"> energy storage</w:t>
      </w:r>
      <w:r w:rsidR="00C363E2" w:rsidRPr="006549F5">
        <w:t xml:space="preserve"> batteries to </w:t>
      </w:r>
      <w:r>
        <w:t>be eligible for a</w:t>
      </w:r>
      <w:r w:rsidR="00C363E2" w:rsidRPr="006549F5">
        <w:t xml:space="preserve"> tax credit</w:t>
      </w:r>
      <w:r>
        <w:t xml:space="preserve">, they </w:t>
      </w:r>
      <w:r w:rsidR="00C363E2" w:rsidRPr="006549F5">
        <w:t>needed to be tied into a solar array</w:t>
      </w:r>
      <w:r>
        <w:t>. With the Inflation Reduction Act, they</w:t>
      </w:r>
      <w:r w:rsidR="00C363E2" w:rsidRPr="006549F5">
        <w:t xml:space="preserve"> can </w:t>
      </w:r>
      <w:r>
        <w:t xml:space="preserve">now </w:t>
      </w:r>
      <w:r w:rsidR="00C363E2" w:rsidRPr="006549F5">
        <w:t>be standalone</w:t>
      </w:r>
      <w:r>
        <w:t xml:space="preserve"> and qualify </w:t>
      </w:r>
      <w:r w:rsidR="005E1E1A">
        <w:t>for the investment tax credit. M</w:t>
      </w:r>
      <w:r w:rsidR="00C363E2" w:rsidRPr="006549F5">
        <w:t xml:space="preserve">eaning if you're a hospital, if you're a data center, if battery storage is </w:t>
      </w:r>
      <w:proofErr w:type="gramStart"/>
      <w:r w:rsidR="00C363E2" w:rsidRPr="006549F5">
        <w:t>really important</w:t>
      </w:r>
      <w:proofErr w:type="gramEnd"/>
      <w:r w:rsidR="00C363E2" w:rsidRPr="006549F5">
        <w:t xml:space="preserve"> for you for whatever reason you want energy storage, you can now take advantage of this tax credit.</w:t>
      </w:r>
    </w:p>
    <w:p w14:paraId="0C0F9369" w14:textId="15C06729" w:rsidR="00C363E2" w:rsidRDefault="00C363E2" w:rsidP="00C363E2">
      <w:r>
        <w:t xml:space="preserve">SLIDE </w:t>
      </w:r>
      <w:r w:rsidR="005E1E1A">
        <w:t>5</w:t>
      </w:r>
    </w:p>
    <w:p w14:paraId="4C96E3CF" w14:textId="77777777" w:rsidR="00C363E2" w:rsidRPr="003B1ADA" w:rsidRDefault="00C363E2" w:rsidP="00C363E2">
      <w:pPr>
        <w:rPr>
          <w:rFonts w:cstheme="minorHAnsi"/>
          <w:color w:val="0D0D0D"/>
          <w:sz w:val="23"/>
          <w:szCs w:val="23"/>
          <w:shd w:val="clear" w:color="auto" w:fill="FFFFFF"/>
        </w:rPr>
      </w:pPr>
      <w:r>
        <w:rPr>
          <w:rFonts w:cstheme="minorHAnsi"/>
          <w:color w:val="0D0D0D"/>
          <w:sz w:val="23"/>
          <w:szCs w:val="23"/>
          <w:shd w:val="clear" w:color="auto" w:fill="FFFFFF"/>
        </w:rPr>
        <w:t>T</w:t>
      </w:r>
      <w:r w:rsidRPr="003B1ADA">
        <w:rPr>
          <w:rFonts w:cstheme="minorHAnsi"/>
          <w:color w:val="0D0D0D"/>
          <w:sz w:val="23"/>
          <w:szCs w:val="23"/>
          <w:shd w:val="clear" w:color="auto" w:fill="FFFFFF"/>
        </w:rPr>
        <w:t>he Clean Energy Resource Teams</w:t>
      </w:r>
      <w:r>
        <w:rPr>
          <w:rFonts w:cstheme="minorHAnsi"/>
          <w:color w:val="0D0D0D"/>
          <w:sz w:val="23"/>
          <w:szCs w:val="23"/>
          <w:shd w:val="clear" w:color="auto" w:fill="FFFFFF"/>
        </w:rPr>
        <w:t xml:space="preserve"> </w:t>
      </w:r>
      <w:r w:rsidRPr="003B1ADA">
        <w:rPr>
          <w:rFonts w:cstheme="minorHAnsi"/>
          <w:color w:val="0D0D0D"/>
          <w:sz w:val="23"/>
          <w:szCs w:val="23"/>
          <w:shd w:val="clear" w:color="auto" w:fill="FFFFFF"/>
        </w:rPr>
        <w:t xml:space="preserve">share tools and resources to keep you informed on how to save energy and money with energy efficiency methods and </w:t>
      </w:r>
      <w:r>
        <w:rPr>
          <w:rFonts w:cstheme="minorHAnsi"/>
          <w:color w:val="0D0D0D"/>
          <w:sz w:val="23"/>
          <w:szCs w:val="23"/>
          <w:shd w:val="clear" w:color="auto" w:fill="FFFFFF"/>
        </w:rPr>
        <w:t>clean</w:t>
      </w:r>
      <w:r w:rsidRPr="003B1ADA">
        <w:rPr>
          <w:rFonts w:cstheme="minorHAnsi"/>
          <w:color w:val="0D0D0D"/>
          <w:sz w:val="23"/>
          <w:szCs w:val="23"/>
          <w:shd w:val="clear" w:color="auto" w:fill="FFFFFF"/>
        </w:rPr>
        <w:t xml:space="preserve"> energy options. Visit</w:t>
      </w:r>
      <w:r>
        <w:rPr>
          <w:rFonts w:cstheme="minorHAnsi"/>
          <w:color w:val="0D0D0D"/>
          <w:sz w:val="23"/>
          <w:szCs w:val="23"/>
          <w:shd w:val="clear" w:color="auto" w:fill="FFFFFF"/>
        </w:rPr>
        <w:t xml:space="preserve"> their</w:t>
      </w:r>
      <w:r w:rsidRPr="003B1ADA">
        <w:rPr>
          <w:rFonts w:cstheme="minorHAnsi"/>
          <w:color w:val="0D0D0D"/>
          <w:sz w:val="23"/>
          <w:szCs w:val="23"/>
          <w:shd w:val="clear" w:color="auto" w:fill="FFFFFF"/>
        </w:rPr>
        <w:t xml:space="preserve"> Guide to the Inflation Reduction Act for updates to help you take advantage of the clean energy incentives within the bill: </w:t>
      </w:r>
      <w:hyperlink r:id="rId17" w:history="1">
        <w:r w:rsidRPr="003B1ADA">
          <w:rPr>
            <w:rStyle w:val="Hyperlink"/>
            <w:rFonts w:cstheme="minorHAnsi"/>
            <w:sz w:val="23"/>
            <w:szCs w:val="23"/>
            <w:shd w:val="clear" w:color="auto" w:fill="FFFFFF"/>
          </w:rPr>
          <w:t>https://www.cleanenergyresourceteams.org/inflation-reduction-act-what-you-need-know</w:t>
        </w:r>
      </w:hyperlink>
    </w:p>
    <w:p w14:paraId="53AE4CAC" w14:textId="77777777" w:rsidR="00C363E2" w:rsidRDefault="00C363E2" w:rsidP="00C363E2">
      <w:r>
        <w:t>Thank you, this is the end of the Commercial Solar + Storage presentation.</w:t>
      </w:r>
    </w:p>
    <w:p w14:paraId="73D8EF4C" w14:textId="77777777" w:rsidR="008D11D2" w:rsidRPr="003B1ADA" w:rsidRDefault="008D11D2" w:rsidP="008D11D2">
      <w:pPr>
        <w:rPr>
          <w:rFonts w:cstheme="minorHAnsi"/>
          <w:i/>
          <w:iCs/>
          <w:color w:val="0D0D0D"/>
          <w:shd w:val="clear" w:color="auto" w:fill="FFFFFF"/>
        </w:rPr>
      </w:pPr>
      <w:r w:rsidRPr="003B1ADA">
        <w:rPr>
          <w:rFonts w:cstheme="minorHAnsi"/>
          <w:b/>
          <w:bCs/>
          <w:i/>
          <w:iCs/>
          <w:color w:val="0D0D0D"/>
          <w:shd w:val="clear" w:color="auto" w:fill="FFFFFF"/>
        </w:rPr>
        <w:t>Please note:</w:t>
      </w:r>
      <w:r w:rsidRPr="003B1ADA">
        <w:rPr>
          <w:rFonts w:cstheme="minorHAnsi"/>
          <w:i/>
          <w:iCs/>
          <w:color w:val="0D0D0D"/>
          <w:shd w:val="clear" w:color="auto" w:fill="FFFFFF"/>
        </w:rPr>
        <w:t xml:space="preserve"> We're sharing resources to assist Minnesotans who are seeking information about federal funding opportunities. These resources are based on preliminary information released by the federal government. Program information may change as more guidance is provided by federal and state governments. For specific information on federal funding, please visit the relevant U.S. Government websites and consult with tax professionals regarding tax incentives that apply to you.</w:t>
      </w:r>
    </w:p>
    <w:p w14:paraId="29BE714C" w14:textId="77777777" w:rsidR="003B1ADA" w:rsidRPr="00C363E2" w:rsidRDefault="003B1ADA" w:rsidP="00C363E2"/>
    <w:sectPr w:rsidR="003B1ADA" w:rsidRPr="00C36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8F8"/>
    <w:multiLevelType w:val="hybridMultilevel"/>
    <w:tmpl w:val="34201A52"/>
    <w:lvl w:ilvl="0" w:tplc="2DF69B58">
      <w:start w:val="1"/>
      <w:numFmt w:val="bullet"/>
      <w:lvlText w:val="•"/>
      <w:lvlJc w:val="left"/>
      <w:pPr>
        <w:tabs>
          <w:tab w:val="num" w:pos="720"/>
        </w:tabs>
        <w:ind w:left="720" w:hanging="360"/>
      </w:pPr>
      <w:rPr>
        <w:rFonts w:ascii="Arial" w:hAnsi="Arial" w:hint="default"/>
      </w:rPr>
    </w:lvl>
    <w:lvl w:ilvl="1" w:tplc="EF02E2CA" w:tentative="1">
      <w:start w:val="1"/>
      <w:numFmt w:val="bullet"/>
      <w:lvlText w:val="•"/>
      <w:lvlJc w:val="left"/>
      <w:pPr>
        <w:tabs>
          <w:tab w:val="num" w:pos="1440"/>
        </w:tabs>
        <w:ind w:left="1440" w:hanging="360"/>
      </w:pPr>
      <w:rPr>
        <w:rFonts w:ascii="Arial" w:hAnsi="Arial" w:hint="default"/>
      </w:rPr>
    </w:lvl>
    <w:lvl w:ilvl="2" w:tplc="0F1E7436" w:tentative="1">
      <w:start w:val="1"/>
      <w:numFmt w:val="bullet"/>
      <w:lvlText w:val="•"/>
      <w:lvlJc w:val="left"/>
      <w:pPr>
        <w:tabs>
          <w:tab w:val="num" w:pos="2160"/>
        </w:tabs>
        <w:ind w:left="2160" w:hanging="360"/>
      </w:pPr>
      <w:rPr>
        <w:rFonts w:ascii="Arial" w:hAnsi="Arial" w:hint="default"/>
      </w:rPr>
    </w:lvl>
    <w:lvl w:ilvl="3" w:tplc="A1DE2D18" w:tentative="1">
      <w:start w:val="1"/>
      <w:numFmt w:val="bullet"/>
      <w:lvlText w:val="•"/>
      <w:lvlJc w:val="left"/>
      <w:pPr>
        <w:tabs>
          <w:tab w:val="num" w:pos="2880"/>
        </w:tabs>
        <w:ind w:left="2880" w:hanging="360"/>
      </w:pPr>
      <w:rPr>
        <w:rFonts w:ascii="Arial" w:hAnsi="Arial" w:hint="default"/>
      </w:rPr>
    </w:lvl>
    <w:lvl w:ilvl="4" w:tplc="72E6572A" w:tentative="1">
      <w:start w:val="1"/>
      <w:numFmt w:val="bullet"/>
      <w:lvlText w:val="•"/>
      <w:lvlJc w:val="left"/>
      <w:pPr>
        <w:tabs>
          <w:tab w:val="num" w:pos="3600"/>
        </w:tabs>
        <w:ind w:left="3600" w:hanging="360"/>
      </w:pPr>
      <w:rPr>
        <w:rFonts w:ascii="Arial" w:hAnsi="Arial" w:hint="default"/>
      </w:rPr>
    </w:lvl>
    <w:lvl w:ilvl="5" w:tplc="68A04756" w:tentative="1">
      <w:start w:val="1"/>
      <w:numFmt w:val="bullet"/>
      <w:lvlText w:val="•"/>
      <w:lvlJc w:val="left"/>
      <w:pPr>
        <w:tabs>
          <w:tab w:val="num" w:pos="4320"/>
        </w:tabs>
        <w:ind w:left="4320" w:hanging="360"/>
      </w:pPr>
      <w:rPr>
        <w:rFonts w:ascii="Arial" w:hAnsi="Arial" w:hint="default"/>
      </w:rPr>
    </w:lvl>
    <w:lvl w:ilvl="6" w:tplc="3446DB82" w:tentative="1">
      <w:start w:val="1"/>
      <w:numFmt w:val="bullet"/>
      <w:lvlText w:val="•"/>
      <w:lvlJc w:val="left"/>
      <w:pPr>
        <w:tabs>
          <w:tab w:val="num" w:pos="5040"/>
        </w:tabs>
        <w:ind w:left="5040" w:hanging="360"/>
      </w:pPr>
      <w:rPr>
        <w:rFonts w:ascii="Arial" w:hAnsi="Arial" w:hint="default"/>
      </w:rPr>
    </w:lvl>
    <w:lvl w:ilvl="7" w:tplc="B7469266" w:tentative="1">
      <w:start w:val="1"/>
      <w:numFmt w:val="bullet"/>
      <w:lvlText w:val="•"/>
      <w:lvlJc w:val="left"/>
      <w:pPr>
        <w:tabs>
          <w:tab w:val="num" w:pos="5760"/>
        </w:tabs>
        <w:ind w:left="5760" w:hanging="360"/>
      </w:pPr>
      <w:rPr>
        <w:rFonts w:ascii="Arial" w:hAnsi="Arial" w:hint="default"/>
      </w:rPr>
    </w:lvl>
    <w:lvl w:ilvl="8" w:tplc="D2FE07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A7A637C"/>
    <w:multiLevelType w:val="hybridMultilevel"/>
    <w:tmpl w:val="B03A1340"/>
    <w:lvl w:ilvl="0" w:tplc="EBBE74C0">
      <w:start w:val="1"/>
      <w:numFmt w:val="bullet"/>
      <w:lvlText w:val="•"/>
      <w:lvlJc w:val="left"/>
      <w:pPr>
        <w:tabs>
          <w:tab w:val="num" w:pos="720"/>
        </w:tabs>
        <w:ind w:left="720" w:hanging="360"/>
      </w:pPr>
      <w:rPr>
        <w:rFonts w:ascii="Arial" w:hAnsi="Arial" w:hint="default"/>
      </w:rPr>
    </w:lvl>
    <w:lvl w:ilvl="1" w:tplc="6C5EC8E4" w:tentative="1">
      <w:start w:val="1"/>
      <w:numFmt w:val="bullet"/>
      <w:lvlText w:val="•"/>
      <w:lvlJc w:val="left"/>
      <w:pPr>
        <w:tabs>
          <w:tab w:val="num" w:pos="1440"/>
        </w:tabs>
        <w:ind w:left="1440" w:hanging="360"/>
      </w:pPr>
      <w:rPr>
        <w:rFonts w:ascii="Arial" w:hAnsi="Arial" w:hint="default"/>
      </w:rPr>
    </w:lvl>
    <w:lvl w:ilvl="2" w:tplc="69A2D5E6" w:tentative="1">
      <w:start w:val="1"/>
      <w:numFmt w:val="bullet"/>
      <w:lvlText w:val="•"/>
      <w:lvlJc w:val="left"/>
      <w:pPr>
        <w:tabs>
          <w:tab w:val="num" w:pos="2160"/>
        </w:tabs>
        <w:ind w:left="2160" w:hanging="360"/>
      </w:pPr>
      <w:rPr>
        <w:rFonts w:ascii="Arial" w:hAnsi="Arial" w:hint="default"/>
      </w:rPr>
    </w:lvl>
    <w:lvl w:ilvl="3" w:tplc="743EF5EA" w:tentative="1">
      <w:start w:val="1"/>
      <w:numFmt w:val="bullet"/>
      <w:lvlText w:val="•"/>
      <w:lvlJc w:val="left"/>
      <w:pPr>
        <w:tabs>
          <w:tab w:val="num" w:pos="2880"/>
        </w:tabs>
        <w:ind w:left="2880" w:hanging="360"/>
      </w:pPr>
      <w:rPr>
        <w:rFonts w:ascii="Arial" w:hAnsi="Arial" w:hint="default"/>
      </w:rPr>
    </w:lvl>
    <w:lvl w:ilvl="4" w:tplc="C804D7C4" w:tentative="1">
      <w:start w:val="1"/>
      <w:numFmt w:val="bullet"/>
      <w:lvlText w:val="•"/>
      <w:lvlJc w:val="left"/>
      <w:pPr>
        <w:tabs>
          <w:tab w:val="num" w:pos="3600"/>
        </w:tabs>
        <w:ind w:left="3600" w:hanging="360"/>
      </w:pPr>
      <w:rPr>
        <w:rFonts w:ascii="Arial" w:hAnsi="Arial" w:hint="default"/>
      </w:rPr>
    </w:lvl>
    <w:lvl w:ilvl="5" w:tplc="296C5DF8" w:tentative="1">
      <w:start w:val="1"/>
      <w:numFmt w:val="bullet"/>
      <w:lvlText w:val="•"/>
      <w:lvlJc w:val="left"/>
      <w:pPr>
        <w:tabs>
          <w:tab w:val="num" w:pos="4320"/>
        </w:tabs>
        <w:ind w:left="4320" w:hanging="360"/>
      </w:pPr>
      <w:rPr>
        <w:rFonts w:ascii="Arial" w:hAnsi="Arial" w:hint="default"/>
      </w:rPr>
    </w:lvl>
    <w:lvl w:ilvl="6" w:tplc="5E3C7FC0" w:tentative="1">
      <w:start w:val="1"/>
      <w:numFmt w:val="bullet"/>
      <w:lvlText w:val="•"/>
      <w:lvlJc w:val="left"/>
      <w:pPr>
        <w:tabs>
          <w:tab w:val="num" w:pos="5040"/>
        </w:tabs>
        <w:ind w:left="5040" w:hanging="360"/>
      </w:pPr>
      <w:rPr>
        <w:rFonts w:ascii="Arial" w:hAnsi="Arial" w:hint="default"/>
      </w:rPr>
    </w:lvl>
    <w:lvl w:ilvl="7" w:tplc="738E6BD0" w:tentative="1">
      <w:start w:val="1"/>
      <w:numFmt w:val="bullet"/>
      <w:lvlText w:val="•"/>
      <w:lvlJc w:val="left"/>
      <w:pPr>
        <w:tabs>
          <w:tab w:val="num" w:pos="5760"/>
        </w:tabs>
        <w:ind w:left="5760" w:hanging="360"/>
      </w:pPr>
      <w:rPr>
        <w:rFonts w:ascii="Arial" w:hAnsi="Arial" w:hint="default"/>
      </w:rPr>
    </w:lvl>
    <w:lvl w:ilvl="8" w:tplc="A97CA0F0" w:tentative="1">
      <w:start w:val="1"/>
      <w:numFmt w:val="bullet"/>
      <w:lvlText w:val="•"/>
      <w:lvlJc w:val="left"/>
      <w:pPr>
        <w:tabs>
          <w:tab w:val="num" w:pos="6480"/>
        </w:tabs>
        <w:ind w:left="6480" w:hanging="360"/>
      </w:pPr>
      <w:rPr>
        <w:rFonts w:ascii="Arial" w:hAnsi="Arial" w:hint="default"/>
      </w:rPr>
    </w:lvl>
  </w:abstractNum>
  <w:num w:numId="1" w16cid:durableId="1321538904">
    <w:abstractNumId w:val="0"/>
  </w:num>
  <w:num w:numId="2" w16cid:durableId="3388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6B"/>
    <w:rsid w:val="00245F35"/>
    <w:rsid w:val="002A27C0"/>
    <w:rsid w:val="00374B54"/>
    <w:rsid w:val="003B1ADA"/>
    <w:rsid w:val="003E0AA1"/>
    <w:rsid w:val="00462B0C"/>
    <w:rsid w:val="004F3917"/>
    <w:rsid w:val="0053429E"/>
    <w:rsid w:val="00544907"/>
    <w:rsid w:val="005E1E1A"/>
    <w:rsid w:val="006549F5"/>
    <w:rsid w:val="006608E9"/>
    <w:rsid w:val="006700EC"/>
    <w:rsid w:val="006F6A4F"/>
    <w:rsid w:val="007B381E"/>
    <w:rsid w:val="008C0E0B"/>
    <w:rsid w:val="008D11D2"/>
    <w:rsid w:val="00AA62D9"/>
    <w:rsid w:val="00AB326B"/>
    <w:rsid w:val="00AB64DE"/>
    <w:rsid w:val="00AE3D3F"/>
    <w:rsid w:val="00AE75CE"/>
    <w:rsid w:val="00B54591"/>
    <w:rsid w:val="00BC2645"/>
    <w:rsid w:val="00C11307"/>
    <w:rsid w:val="00C363E2"/>
    <w:rsid w:val="00C976A1"/>
    <w:rsid w:val="00CB180E"/>
    <w:rsid w:val="00DA089B"/>
    <w:rsid w:val="00DF439F"/>
    <w:rsid w:val="00E3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9335"/>
  <w15:chartTrackingRefBased/>
  <w15:docId w15:val="{7B664851-D057-4D11-9C17-E2572236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7C0"/>
    <w:rPr>
      <w:color w:val="0563C1" w:themeColor="hyperlink"/>
      <w:u w:val="single"/>
    </w:rPr>
  </w:style>
  <w:style w:type="character" w:styleId="UnresolvedMention">
    <w:name w:val="Unresolved Mention"/>
    <w:basedOn w:val="DefaultParagraphFont"/>
    <w:uiPriority w:val="99"/>
    <w:semiHidden/>
    <w:unhideWhenUsed/>
    <w:rsid w:val="002A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lation" TargetMode="External"/><Relationship Id="rId13" Type="http://schemas.openxmlformats.org/officeDocument/2006/relationships/hyperlink" Target="https://en.wikipedia.org/wiki/Joe_Bid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aw_of_the_United_States" TargetMode="External"/><Relationship Id="rId12" Type="http://schemas.openxmlformats.org/officeDocument/2006/relationships/hyperlink" Target="https://en.wikipedia.org/wiki/117th_United_States_Congress" TargetMode="External"/><Relationship Id="rId17" Type="http://schemas.openxmlformats.org/officeDocument/2006/relationships/hyperlink" Target="https://www.cleanenergyresourceteams.org/inflation-reduction-act-what-you-need-know" TargetMode="External"/><Relationship Id="rId2" Type="http://schemas.openxmlformats.org/officeDocument/2006/relationships/styles" Target="styles.xml"/><Relationship Id="rId16" Type="http://schemas.openxmlformats.org/officeDocument/2006/relationships/hyperlink" Target="https://www.cleanenergyresourceteams.org/inflation-reduction-act-what-you-need-know" TargetMode="External"/><Relationship Id="rId1" Type="http://schemas.openxmlformats.org/officeDocument/2006/relationships/numbering" Target="numbering.xml"/><Relationship Id="rId6" Type="http://schemas.openxmlformats.org/officeDocument/2006/relationships/hyperlink" Target="https://en.wikipedia.org/wiki/Greenhouse_gas_emissions_by_the_United_States" TargetMode="External"/><Relationship Id="rId11" Type="http://schemas.openxmlformats.org/officeDocument/2006/relationships/hyperlink" Target="https://en.wikipedia.org/wiki/Clean_energy" TargetMode="External"/><Relationship Id="rId5" Type="http://schemas.openxmlformats.org/officeDocument/2006/relationships/hyperlink" Target="https://en.wikipedia.org/wiki/Climate_change_policy_of_the_United_States" TargetMode="External"/><Relationship Id="rId15" Type="http://schemas.openxmlformats.org/officeDocument/2006/relationships/hyperlink" Target="https://en.wikipedia.org/wiki/Affordable_Care_Act" TargetMode="External"/><Relationship Id="rId10" Type="http://schemas.openxmlformats.org/officeDocument/2006/relationships/hyperlink" Target="https://en.wikipedia.org/wiki/Prescription_drug_prices_in_the_United_St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Deficit_reduction_in_the_United_States" TargetMode="External"/><Relationship Id="rId14" Type="http://schemas.openxmlformats.org/officeDocument/2006/relationships/hyperlink" Target="https://en.wikipedia.org/wiki/Energy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Shaylyn M Bernhardt</dc:creator>
  <cp:keywords/>
  <dc:description/>
  <cp:lastModifiedBy>Shaylyn M Bernhardt</cp:lastModifiedBy>
  <cp:revision>3</cp:revision>
  <dcterms:created xsi:type="dcterms:W3CDTF">2023-05-04T15:30:00Z</dcterms:created>
  <dcterms:modified xsi:type="dcterms:W3CDTF">2023-05-04T16:49:00Z</dcterms:modified>
</cp:coreProperties>
</file>